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23" w:rsidRDefault="00CB2C23" w:rsidP="00CB2C23">
      <w:pPr>
        <w:widowControl w:val="0"/>
        <w:snapToGrid w:val="0"/>
        <w:spacing w:after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附件2</w:t>
      </w:r>
    </w:p>
    <w:p w:rsidR="00CB2C23" w:rsidRDefault="00CB2C23" w:rsidP="00CB2C23">
      <w:pPr>
        <w:widowControl w:val="0"/>
        <w:snapToGrid w:val="0"/>
        <w:spacing w:after="0"/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  <w:lang w:eastAsia="zh-CN"/>
        </w:rPr>
        <w:t>会议交通指南</w:t>
      </w:r>
    </w:p>
    <w:bookmarkEnd w:id="0"/>
    <w:p w:rsidR="00CB2C23" w:rsidRDefault="00CB2C23" w:rsidP="00CB2C23">
      <w:pPr>
        <w:widowControl w:val="0"/>
        <w:snapToGrid w:val="0"/>
        <w:spacing w:after="0" w:line="560" w:lineRule="exact"/>
        <w:rPr>
          <w:rFonts w:ascii="楷体" w:eastAsia="楷体" w:hAnsi="楷体" w:cs="仿宋_GB2312"/>
          <w:color w:val="000000"/>
          <w:sz w:val="28"/>
          <w:szCs w:val="32"/>
          <w:shd w:val="clear" w:color="auto" w:fill="FFFFFF"/>
          <w:lang w:eastAsia="zh-CN"/>
        </w:rPr>
      </w:pPr>
    </w:p>
    <w:p w:rsidR="00CB2C23" w:rsidRDefault="00CB2C23" w:rsidP="00CB2C23">
      <w:pPr>
        <w:widowControl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邹城市位于山东省西南部，是著名思想家、教育家孟子的故里，素有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“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邹鲁圣地、孔孟桑梓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”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之美誉，是国家首批历史文化名城、中国优秀旅游城市、全国文化建设先进县、全国综合实力百强县市、山东省文明城市。总面积1616平方公里，总人口120万，辖16个镇街、2个省级开发区、895个行政村（居），是全国八大煤炭基地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——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世界500强企业兖矿集团、现代化特大型坑口火力发电厂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——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华电国际邹县电厂总部所在地。</w:t>
      </w:r>
    </w:p>
    <w:p w:rsidR="00CB2C23" w:rsidRDefault="00CB2C23" w:rsidP="00CB2C23">
      <w:pPr>
        <w:widowControl w:val="0"/>
        <w:snapToGrid w:val="0"/>
        <w:spacing w:after="0" w:line="560" w:lineRule="exact"/>
        <w:rPr>
          <w:sz w:val="24"/>
          <w:szCs w:val="24"/>
          <w:lang w:eastAsia="zh-CN"/>
        </w:rPr>
      </w:pP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7月2日报到地址：山东省邹城市孟子大剧院（邹城市太平东路2666号）</w:t>
      </w:r>
    </w:p>
    <w:p w:rsidR="00CB2C23" w:rsidRDefault="00CB2C23" w:rsidP="00CB2C23">
      <w:pPr>
        <w:widowControl w:val="0"/>
        <w:numPr>
          <w:ilvl w:val="0"/>
          <w:numId w:val="1"/>
        </w:numPr>
        <w:snapToGrid w:val="0"/>
        <w:spacing w:after="0" w:line="560" w:lineRule="exact"/>
        <w:rPr>
          <w:rFonts w:ascii="仿宋_GB2312" w:eastAsia="仿宋_GB2312" w:hAnsi="仿宋"/>
          <w:b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b/>
          <w:kern w:val="2"/>
          <w:sz w:val="32"/>
          <w:szCs w:val="32"/>
          <w:lang w:val="zh-CN" w:eastAsia="zh-CN"/>
        </w:rPr>
        <w:t>特别推荐：高铁出行方式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曲阜东站——请乘坐会务组专门安排的会议大巴（免费）前往邹城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途径车次：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G8956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G345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G297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G208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G63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G4288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G279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G4266/G4267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G285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G202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G51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G4907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G246/G247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G433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G262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G300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、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G456/G457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等</w:t>
      </w:r>
    </w:p>
    <w:p w:rsidR="00CB2C23" w:rsidRDefault="00CB2C23" w:rsidP="00CB2C23">
      <w:pPr>
        <w:widowControl w:val="0"/>
        <w:numPr>
          <w:ilvl w:val="0"/>
          <w:numId w:val="1"/>
        </w:numPr>
        <w:snapToGrid w:val="0"/>
        <w:spacing w:after="0" w:line="560" w:lineRule="exact"/>
        <w:rPr>
          <w:rFonts w:ascii="仿宋_GB2312" w:eastAsia="仿宋_GB2312" w:hAnsi="仿宋"/>
          <w:b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b/>
          <w:kern w:val="2"/>
          <w:sz w:val="32"/>
          <w:szCs w:val="32"/>
          <w:lang w:val="zh-CN" w:eastAsia="zh-CN"/>
        </w:rPr>
        <w:t>飞机出行，共有2个选择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（1）济南遥墙国际机场——再转乘前往邹城市的大巴抵达邹城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 xml:space="preserve">（2）山东曲阜国际机场——再转乘出租车抵达邹城    </w:t>
      </w:r>
    </w:p>
    <w:p w:rsidR="00CB2C23" w:rsidRDefault="00CB2C23" w:rsidP="00CB2C23">
      <w:pPr>
        <w:widowControl w:val="0"/>
        <w:numPr>
          <w:ilvl w:val="0"/>
          <w:numId w:val="1"/>
        </w:numPr>
        <w:snapToGrid w:val="0"/>
        <w:spacing w:after="0" w:line="560" w:lineRule="exact"/>
        <w:rPr>
          <w:rFonts w:ascii="仿宋_GB2312" w:eastAsia="仿宋_GB2312" w:hAnsi="仿宋"/>
          <w:b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b/>
          <w:kern w:val="2"/>
          <w:sz w:val="32"/>
          <w:szCs w:val="32"/>
          <w:lang w:val="zh-CN" w:eastAsia="zh-CN"/>
        </w:rPr>
        <w:lastRenderedPageBreak/>
        <w:t>普通火车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邹城火车站：</w:t>
      </w:r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在京沪线下行方向</w:t>
      </w: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是</w:t>
      </w:r>
      <w:hyperlink r:id="rId5" w:tgtFrame="_blank" w:history="1">
        <w:r>
          <w:rPr>
            <w:rFonts w:ascii="仿宋_GB2312" w:eastAsia="仿宋_GB2312" w:hAnsi="仿宋"/>
            <w:kern w:val="2"/>
            <w:sz w:val="32"/>
            <w:szCs w:val="32"/>
            <w:lang w:val="zh-CN" w:eastAsia="zh-CN"/>
          </w:rPr>
          <w:t>上海站</w:t>
        </w:r>
      </w:hyperlink>
      <w:r>
        <w:rPr>
          <w:rFonts w:ascii="仿宋_GB2312" w:eastAsia="仿宋_GB2312" w:hAnsi="仿宋"/>
          <w:kern w:val="2"/>
          <w:sz w:val="32"/>
          <w:szCs w:val="32"/>
          <w:lang w:val="zh-CN" w:eastAsia="zh-CN"/>
        </w:rPr>
        <w:t>，上行方向</w:t>
      </w:r>
      <w:hyperlink r:id="rId6" w:tgtFrame="_blank" w:history="1">
        <w:r>
          <w:rPr>
            <w:rFonts w:ascii="仿宋_GB2312" w:eastAsia="仿宋_GB2312" w:hAnsi="仿宋"/>
            <w:kern w:val="2"/>
            <w:sz w:val="32"/>
            <w:szCs w:val="32"/>
            <w:lang w:val="zh-CN" w:eastAsia="zh-CN"/>
          </w:rPr>
          <w:t>北京站</w:t>
        </w:r>
      </w:hyperlink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途径车次：5036/5037、K771、K761/K764、K772、K171/K174、1461等车次</w:t>
      </w:r>
    </w:p>
    <w:p w:rsidR="00CB2C23" w:rsidRDefault="00CB2C23" w:rsidP="00CB2C23">
      <w:pPr>
        <w:widowControl w:val="0"/>
        <w:numPr>
          <w:ilvl w:val="0"/>
          <w:numId w:val="1"/>
        </w:numPr>
        <w:snapToGrid w:val="0"/>
        <w:spacing w:after="0" w:line="560" w:lineRule="exact"/>
        <w:rPr>
          <w:rFonts w:ascii="仿宋_GB2312" w:eastAsia="仿宋_GB2312" w:hAnsi="仿宋"/>
          <w:b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b/>
          <w:kern w:val="2"/>
          <w:sz w:val="32"/>
          <w:szCs w:val="32"/>
          <w:lang w:val="zh-CN" w:eastAsia="zh-CN"/>
        </w:rPr>
        <w:t>山东省内亦可乘坐城际公交抵达。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邹城长途客运站：邹城岚济路南侧,华电迎宾大道西侧；</w:t>
      </w:r>
    </w:p>
    <w:p w:rsidR="00CB2C23" w:rsidRDefault="00CB2C23" w:rsidP="00CB2C23">
      <w:pPr>
        <w:widowControl w:val="0"/>
        <w:adjustRightInd w:val="0"/>
        <w:snapToGrid w:val="0"/>
        <w:spacing w:after="0"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  <w:lang w:val="zh-CN" w:eastAsia="zh-CN"/>
        </w:rPr>
      </w:pPr>
      <w:r>
        <w:rPr>
          <w:rFonts w:ascii="仿宋_GB2312" w:eastAsia="仿宋_GB2312" w:hAnsi="仿宋" w:hint="eastAsia"/>
          <w:kern w:val="2"/>
          <w:sz w:val="32"/>
          <w:szCs w:val="32"/>
          <w:lang w:val="zh-CN" w:eastAsia="zh-CN"/>
        </w:rPr>
        <w:t>已开通省内路线27条（济南，青岛，临沂，聊城，淄博，烟台，威海，菏泽，东营，莱芜，枣庄，济宁，肥城，滕州，泗水，金乡，鱼台，汶上）</w:t>
      </w:r>
    </w:p>
    <w:p w:rsidR="00716D88" w:rsidRPr="00CB2C23" w:rsidRDefault="00716D88" w:rsidP="00CB2C23">
      <w:pPr>
        <w:widowControl w:val="0"/>
        <w:snapToGrid w:val="0"/>
        <w:spacing w:after="0" w:line="560" w:lineRule="exact"/>
        <w:rPr>
          <w:rFonts w:ascii="宋体" w:hAnsi="宋体" w:hint="eastAsia"/>
          <w:sz w:val="24"/>
          <w:szCs w:val="24"/>
          <w:lang w:eastAsia="zh-CN"/>
        </w:rPr>
      </w:pPr>
    </w:p>
    <w:sectPr w:rsidR="00716D88" w:rsidRPr="00CB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3"/>
    <w:rsid w:val="00716D88"/>
    <w:rsid w:val="00806D93"/>
    <w:rsid w:val="00C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6A83"/>
  <w15:chartTrackingRefBased/>
  <w15:docId w15:val="{9FE82875-5107-40EC-BD8C-8F69762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C23"/>
    <w:pPr>
      <w:spacing w:after="200" w:line="276" w:lineRule="auto"/>
    </w:pPr>
    <w:rPr>
      <w:rFonts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item/%E5%8C%97%E4%BA%AC%E7%AB%99/18844" TargetMode="External"/><Relationship Id="rId5" Type="http://schemas.openxmlformats.org/officeDocument/2006/relationships/hyperlink" Target="http://baike.baidu.com/item/%E4%B8%8A%E6%B5%B7%E7%AB%99/5932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2017-05-12T07:28:00Z</dcterms:created>
  <dcterms:modified xsi:type="dcterms:W3CDTF">2017-05-12T07:29:00Z</dcterms:modified>
</cp:coreProperties>
</file>